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26-06-09-046</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Offenes Verfahren: VE 4 Schadstoffsanierungs- und Rückbauarbeiten - Schulzentrum Brilon</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 xml:space="preserve">Im Schulzentrum in Brilon, bestehend aus der Heinrich-Lübke-Schule (HLS) und dem
Gymnasium Petrinum (PET), wurde eine Schadstoffbelastung (PCB, KMF) festgestellt,
woraufhin ein Konzept aus Teilsanierung, Teilrückbau und Teilneubau entwickelt wurde.
Die Schadstoffsanierungs- und Abbrucharbeiten, die in diesem LV ausgeschrieben sind,
beziehen sich auf den Bestand des Gymnasiums Petrinum. Bei dieser Vergabeeinheit
handelt es sich überwiegend um eine Sanierung im Bestand. Um die Bedarfe der Schule
abdecken zu können, wird im Erdgeschoss eine Erweiterung für die Verwaltung in
Massivbauweise vorgesehen und ein Oberstufenhaus in Holzrahmenbauweise im 1. OG, als
Staffelgeschoss, errichtet. </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